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8B78" w14:textId="77777777" w:rsidR="001A30C0" w:rsidRPr="001A30C0" w:rsidRDefault="001A30C0" w:rsidP="001A30C0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bookmarkStart w:id="0" w:name="_Hlk124286012"/>
      <w:r w:rsidRPr="001A30C0">
        <w:rPr>
          <w:rFonts w:hint="cs"/>
          <w:b/>
          <w:bCs/>
          <w:sz w:val="28"/>
          <w:szCs w:val="28"/>
          <w:rtl/>
        </w:rPr>
        <w:t xml:space="preserve">טיעונים לקדם משפט 11.1.2023 </w:t>
      </w:r>
    </w:p>
    <w:p w14:paraId="1797BF01" w14:textId="295F3DB9" w:rsidR="001A30C0" w:rsidRDefault="001A30C0" w:rsidP="001A30C0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לגבי </w:t>
      </w:r>
      <w:r w:rsidRPr="00EE0F74">
        <w:rPr>
          <w:rFonts w:hint="cs"/>
          <w:b/>
          <w:bCs/>
          <w:sz w:val="28"/>
          <w:szCs w:val="28"/>
          <w:u w:val="single"/>
          <w:rtl/>
        </w:rPr>
        <w:t>כתב ההגנה לתביעה מתוקנת מ-3.1.2023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14:paraId="45CFA80A" w14:textId="77777777" w:rsidR="001A30C0" w:rsidRPr="00EE0F74" w:rsidRDefault="001A30C0" w:rsidP="001A30C0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</w:p>
    <w:p w14:paraId="63718D7A" w14:textId="09479D7E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1. מבקשים אישור לכתב תגובה לכתב ההגנה המתוקן </w:t>
      </w:r>
    </w:p>
    <w:p w14:paraId="0932B3C2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b/>
          <w:bCs/>
          <w:sz w:val="12"/>
          <w:szCs w:val="12"/>
          <w:rtl/>
        </w:rPr>
      </w:pPr>
    </w:p>
    <w:p w14:paraId="1A35342B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/>
          <w:b/>
          <w:bCs/>
          <w:sz w:val="28"/>
          <w:szCs w:val="28"/>
        </w:rPr>
        <w:t xml:space="preserve"> 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2.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טענת ההגנה</w:t>
      </w:r>
      <w:r w:rsidRPr="001A30C0">
        <w:rPr>
          <w:rFonts w:ascii="David" w:hAnsi="David" w:cs="David" w:hint="cs"/>
          <w:sz w:val="24"/>
          <w:szCs w:val="24"/>
          <w:rtl/>
        </w:rPr>
        <w:t>:</w:t>
      </w:r>
      <w:r w:rsidRPr="001A30C0">
        <w:rPr>
          <w:rFonts w:ascii="David" w:hAnsi="David" w:cs="David" w:hint="cs"/>
          <w:sz w:val="24"/>
          <w:szCs w:val="24"/>
          <w:rtl/>
        </w:rPr>
        <w:t xml:space="preserve"> (ע' 2 קטע 5 מכתב ההגנה</w:t>
      </w:r>
      <w:r>
        <w:rPr>
          <w:rFonts w:ascii="David" w:hAnsi="David" w:cs="David" w:hint="cs"/>
          <w:sz w:val="24"/>
          <w:szCs w:val="24"/>
          <w:rtl/>
        </w:rPr>
        <w:t xml:space="preserve"> ועוד</w:t>
      </w:r>
      <w:r w:rsidRPr="001A30C0">
        <w:rPr>
          <w:rFonts w:ascii="David" w:hAnsi="David" w:cs="David" w:hint="cs"/>
          <w:sz w:val="24"/>
          <w:szCs w:val="24"/>
          <w:rtl/>
        </w:rPr>
        <w:t>)</w:t>
      </w:r>
    </w:p>
    <w:p w14:paraId="061F0787" w14:textId="084149D6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דין התביעה לסילוק על הסף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Pr="006D2A09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ע"פ סעיף 43 לחוק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Pr="006D2A09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</w:t>
      </w:r>
      <w:proofErr w:type="spellStart"/>
      <w:r>
        <w:rPr>
          <w:rFonts w:ascii="David" w:hAnsi="David" w:cs="David" w:hint="cs"/>
          <w:sz w:val="24"/>
          <w:szCs w:val="24"/>
          <w:rtl/>
        </w:rPr>
        <w:t>התישנות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לאחר 60 יום) </w:t>
      </w:r>
    </w:p>
    <w:p w14:paraId="4BBA4460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sz w:val="16"/>
          <w:szCs w:val="16"/>
        </w:rPr>
      </w:pPr>
    </w:p>
    <w:p w14:paraId="522FA106" w14:textId="65075465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b/>
          <w:bCs/>
          <w:sz w:val="28"/>
          <w:szCs w:val="28"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>תגוב</w:t>
      </w:r>
      <w:r>
        <w:rPr>
          <w:rFonts w:ascii="David" w:hAnsi="David" w:cs="David" w:hint="cs"/>
          <w:b/>
          <w:bCs/>
          <w:sz w:val="28"/>
          <w:szCs w:val="28"/>
          <w:rtl/>
        </w:rPr>
        <w:t>ת התובע:</w:t>
      </w:r>
    </w:p>
    <w:p w14:paraId="48CA76CC" w14:textId="77777777" w:rsidR="001A30C0" w:rsidRPr="00DC008A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58"/>
        <w:jc w:val="right"/>
        <w:rPr>
          <w:rFonts w:ascii="David" w:hAnsi="David" w:cs="David"/>
          <w:sz w:val="6"/>
          <w:szCs w:val="6"/>
        </w:rPr>
      </w:pPr>
    </w:p>
    <w:p w14:paraId="1A3C5CD5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  <w:u w:val="single"/>
        </w:rPr>
      </w:pPr>
      <w:r w:rsidRPr="001A30C0">
        <w:rPr>
          <w:rFonts w:ascii="David" w:hAnsi="David" w:cs="David" w:hint="cs"/>
          <w:sz w:val="28"/>
          <w:szCs w:val="28"/>
          <w:u w:val="single"/>
          <w:rtl/>
        </w:rPr>
        <w:t>י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ש לדחות דרישה זו מכמה סיבות: </w:t>
      </w:r>
    </w:p>
    <w:p w14:paraId="18C2205D" w14:textId="0D1C75EE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  <w:rtl/>
        </w:rPr>
      </w:pPr>
      <w:r w:rsidRPr="001A30C0">
        <w:rPr>
          <w:rFonts w:ascii="David" w:hAnsi="David" w:cs="David" w:hint="cs"/>
          <w:b/>
          <w:bCs/>
          <w:sz w:val="24"/>
          <w:szCs w:val="24"/>
          <w:u w:val="single"/>
          <w:rtl/>
        </w:rPr>
        <w:t>1</w:t>
      </w:r>
      <w:r w:rsidRPr="001A30C0">
        <w:rPr>
          <w:rFonts w:ascii="David" w:hAnsi="David" w:cs="David" w:hint="cs"/>
          <w:sz w:val="28"/>
          <w:szCs w:val="28"/>
          <w:rtl/>
        </w:rPr>
        <w:t xml:space="preserve">.  טענת המדינה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סותרת את פסק ביה"ד הארצי</w:t>
      </w:r>
      <w:r w:rsidRPr="001A30C0">
        <w:rPr>
          <w:rFonts w:ascii="David" w:hAnsi="David" w:cs="David" w:hint="cs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לעבודה</w:t>
      </w:r>
      <w:r w:rsidRPr="001A30C0">
        <w:rPr>
          <w:rFonts w:ascii="David" w:hAnsi="David" w:cs="David" w:hint="cs"/>
          <w:sz w:val="24"/>
          <w:szCs w:val="24"/>
          <w:rtl/>
        </w:rPr>
        <w:t>),</w:t>
      </w:r>
      <w:r>
        <w:rPr>
          <w:rFonts w:ascii="David" w:hAnsi="David" w:cs="David" w:hint="cs"/>
          <w:sz w:val="28"/>
          <w:szCs w:val="28"/>
          <w:rtl/>
        </w:rPr>
        <w:t xml:space="preserve"> שפסק כי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על אף שחוק </w:t>
      </w:r>
      <w:proofErr w:type="spellStart"/>
      <w:r w:rsidRPr="001A30C0">
        <w:rPr>
          <w:rFonts w:ascii="David" w:hAnsi="David" w:cs="David" w:hint="cs"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חל על התובע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"..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 xml:space="preserve"> אין מקום לסלק על הסף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את תביעת המערער בעניין חישוב הגמלה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" </w:t>
      </w:r>
      <w:r w:rsidRPr="001A30C0">
        <w:rPr>
          <w:rFonts w:ascii="David" w:hAnsi="David" w:cs="David" w:hint="cs"/>
          <w:sz w:val="28"/>
          <w:szCs w:val="28"/>
          <w:rtl/>
        </w:rPr>
        <w:t>(סעיף 42 לפסה"ד)  .</w:t>
      </w:r>
    </w:p>
    <w:p w14:paraId="6A60401D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</w:rPr>
      </w:pP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בהמשך נפסק עוד כי 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"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אין מקום לסילוק על הסף של תביעותיו של המערער בעניין נוסחת חישוב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המשכורת הקובעת ודרגת פרישה, ו</w:t>
      </w:r>
      <w:r w:rsidRPr="001A30C0">
        <w:rPr>
          <w:rFonts w:ascii="David" w:hAnsi="David" w:cs="David"/>
          <w:b/>
          <w:bCs/>
          <w:kern w:val="0"/>
          <w:sz w:val="28"/>
          <w:szCs w:val="28"/>
          <w:u w:val="single"/>
          <w:rtl/>
        </w:rPr>
        <w:t>בית הדין האזורי ידון בהן לגופן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..."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,</w:t>
      </w:r>
      <w:r w:rsidRPr="001A30C0">
        <w:rPr>
          <w:rFonts w:ascii="David" w:hAnsi="David" w:cs="David" w:hint="cs"/>
          <w:sz w:val="28"/>
          <w:szCs w:val="28"/>
          <w:rtl/>
        </w:rPr>
        <w:t xml:space="preserve"> (סעיף 47 לפסה"ד)</w:t>
      </w:r>
    </w:p>
    <w:p w14:paraId="299584F0" w14:textId="77777777" w:rsidR="001A30C0" w:rsidRPr="00DC008A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12"/>
          <w:szCs w:val="12"/>
        </w:rPr>
      </w:pPr>
    </w:p>
    <w:p w14:paraId="71D1CA4F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  <w:rtl/>
        </w:rPr>
      </w:pPr>
      <w:r w:rsidRPr="001A30C0">
        <w:rPr>
          <w:rFonts w:ascii="David" w:hAnsi="David" w:cs="David" w:hint="cs"/>
          <w:b/>
          <w:bCs/>
          <w:sz w:val="24"/>
          <w:szCs w:val="24"/>
          <w:u w:val="single"/>
          <w:rtl/>
        </w:rPr>
        <w:t>2</w:t>
      </w:r>
      <w:r>
        <w:rPr>
          <w:rFonts w:ascii="David" w:hAnsi="David" w:cs="David" w:hint="cs"/>
          <w:sz w:val="24"/>
          <w:szCs w:val="24"/>
          <w:rtl/>
        </w:rPr>
        <w:t xml:space="preserve">.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התביעה המתוקנת ביסודה 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איננה ערעור על החלטת הממונה על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>(להלן: הממונה)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לפי סעיף 43 לחוק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 xml:space="preserve">(שהגביל בזמנו את תקופת </w:t>
      </w:r>
      <w:proofErr w:type="spellStart"/>
      <w:r w:rsidRPr="001A30C0">
        <w:rPr>
          <w:rFonts w:ascii="David" w:hAnsi="David" w:cs="David" w:hint="cs"/>
          <w:sz w:val="28"/>
          <w:szCs w:val="28"/>
          <w:rtl/>
        </w:rPr>
        <w:t>העירעור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ל-60 יום) אלא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תביעה כנגד האמור במכתב ההנחיות</w:t>
      </w:r>
      <w:r w:rsidRPr="001A30C0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של סגן נציב שרות המדינה</w:t>
      </w:r>
      <w:r w:rsidRPr="001A30C0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מר</w:t>
      </w:r>
      <w:r w:rsidRPr="001A30C0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אהרונוב </w:t>
      </w:r>
      <w:r w:rsidRPr="001A30C0">
        <w:rPr>
          <w:rFonts w:ascii="David" w:hAnsi="David" w:cs="David" w:hint="cs"/>
          <w:sz w:val="28"/>
          <w:szCs w:val="28"/>
          <w:rtl/>
        </w:rPr>
        <w:t>אל הממונה, שהוא</w:t>
      </w:r>
      <w:r w:rsidRPr="001A30C0">
        <w:rPr>
          <w:rFonts w:ascii="David" w:hAnsi="David" w:cs="David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>הבסיס</w:t>
      </w:r>
      <w:r w:rsidRPr="001A30C0">
        <w:rPr>
          <w:rFonts w:ascii="David" w:hAnsi="David" w:cs="David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לתשלום </w:t>
      </w:r>
      <w:proofErr w:type="spellStart"/>
      <w:r w:rsidRPr="001A30C0">
        <w:rPr>
          <w:rFonts w:ascii="David" w:hAnsi="David" w:cs="David" w:hint="cs"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</w:t>
      </w:r>
      <w:r w:rsidRPr="001A30C0">
        <w:rPr>
          <w:rFonts w:ascii="David" w:hAnsi="David" w:cs="David"/>
          <w:sz w:val="28"/>
          <w:szCs w:val="28"/>
          <w:rtl/>
        </w:rPr>
        <w:t xml:space="preserve">שביצעה </w:t>
      </w:r>
      <w:proofErr w:type="spellStart"/>
      <w:r w:rsidRPr="001A30C0">
        <w:rPr>
          <w:rFonts w:ascii="David" w:hAnsi="David" w:cs="David"/>
          <w:sz w:val="28"/>
          <w:szCs w:val="28"/>
          <w:rtl/>
        </w:rPr>
        <w:t>מינהלת</w:t>
      </w:r>
      <w:proofErr w:type="spellEnd"/>
      <w:r w:rsidRPr="001A30C0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1A30C0">
        <w:rPr>
          <w:rFonts w:ascii="David" w:hAnsi="David" w:cs="David"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(סעיפים  11-14 לכתב תביעה). </w:t>
      </w:r>
    </w:p>
    <w:p w14:paraId="53817412" w14:textId="57ABB87F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  <w:rtl/>
        </w:rPr>
      </w:pPr>
      <w:r w:rsidRPr="001A30C0">
        <w:rPr>
          <w:rFonts w:ascii="David" w:hAnsi="David" w:cs="David" w:hint="cs"/>
          <w:sz w:val="28"/>
          <w:szCs w:val="28"/>
          <w:rtl/>
        </w:rPr>
        <w:t xml:space="preserve">על תביעה כזו, נגד המדינה כמעסיק מציין ביה"ד הארצי כי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"...</w:t>
      </w:r>
      <w:r w:rsidRPr="001A30C0">
        <w:rPr>
          <w:rFonts w:ascii="David" w:hAnsi="David" w:cs="David"/>
          <w:b/>
          <w:bCs/>
          <w:sz w:val="28"/>
          <w:szCs w:val="28"/>
          <w:rtl/>
        </w:rPr>
        <w:t>מדובר בתביעה שחל עליה חוק ההתיישנות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..."</w:t>
      </w:r>
      <w:r w:rsidRPr="001A30C0">
        <w:rPr>
          <w:rFonts w:ascii="David" w:hAnsi="David" w:cs="David" w:hint="cs"/>
          <w:sz w:val="28"/>
          <w:szCs w:val="28"/>
          <w:rtl/>
        </w:rPr>
        <w:t xml:space="preserve"> (סעיף 44 לפסה"ד).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84EBB65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</w:rPr>
      </w:pPr>
      <w:r>
        <w:rPr>
          <w:rFonts w:ascii="David" w:hAnsi="David" w:cs="David"/>
          <w:sz w:val="24"/>
          <w:szCs w:val="24"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התביעה הוגשה ב-3.10.2019,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פחות משבע שנים מיום היווצרות העילה לתביעה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בחודש דצמבר 2012 לכל המוקדם, כמתואר בסעיף 6 לכתב התביעה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ולפיכך אין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התישנות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>.</w:t>
      </w:r>
      <w:r w:rsidRPr="001A30C0">
        <w:rPr>
          <w:rFonts w:ascii="David" w:hAnsi="David" w:cs="David" w:hint="cs"/>
          <w:sz w:val="28"/>
          <w:szCs w:val="28"/>
          <w:rtl/>
        </w:rPr>
        <w:t xml:space="preserve">  </w:t>
      </w:r>
    </w:p>
    <w:p w14:paraId="6F77D7E6" w14:textId="77777777" w:rsidR="001A30C0" w:rsidRPr="00DC008A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12"/>
          <w:szCs w:val="12"/>
        </w:rPr>
      </w:pPr>
    </w:p>
    <w:p w14:paraId="63A273F6" w14:textId="77777777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8"/>
          <w:szCs w:val="28"/>
          <w:rtl/>
        </w:rPr>
      </w:pPr>
      <w:r w:rsidRPr="001A30C0">
        <w:rPr>
          <w:rFonts w:ascii="David" w:hAnsi="David" w:cs="David" w:hint="cs"/>
          <w:b/>
          <w:bCs/>
          <w:sz w:val="24"/>
          <w:szCs w:val="24"/>
          <w:u w:val="single"/>
          <w:rtl/>
        </w:rPr>
        <w:t>3</w:t>
      </w:r>
      <w:r>
        <w:rPr>
          <w:rFonts w:ascii="David" w:hAnsi="David" w:cs="David" w:hint="cs"/>
          <w:sz w:val="24"/>
          <w:szCs w:val="24"/>
          <w:rtl/>
        </w:rPr>
        <w:t>.</w:t>
      </w:r>
      <w:r w:rsidRPr="00DC008A">
        <w:rPr>
          <w:rFonts w:ascii="David" w:hAnsi="David" w:cs="David" w:hint="cs"/>
          <w:sz w:val="24"/>
          <w:szCs w:val="24"/>
          <w:rtl/>
        </w:rPr>
        <w:t xml:space="preserve"> 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בפסה"ד הארצי נפסק עוד כי גם אם </w:t>
      </w:r>
      <w:r w:rsidRPr="001A30C0">
        <w:rPr>
          <w:rFonts w:ascii="David" w:hAnsi="David" w:cs="David"/>
          <w:kern w:val="0"/>
          <w:sz w:val="28"/>
          <w:szCs w:val="28"/>
          <w:rtl/>
        </w:rPr>
        <w:t>מדובר בערעור על החלטת גמלאות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וסעיף 43 לחוק </w:t>
      </w:r>
      <w:proofErr w:type="spellStart"/>
      <w:r w:rsidRPr="001A30C0">
        <w:rPr>
          <w:rFonts w:ascii="David" w:hAnsi="David" w:cs="David" w:hint="cs"/>
          <w:kern w:val="0"/>
          <w:sz w:val="28"/>
          <w:szCs w:val="28"/>
          <w:rtl/>
        </w:rPr>
        <w:t>הגימלאות</w:t>
      </w:r>
      <w:proofErr w:type="spellEnd"/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 חל על התובע</w:t>
      </w:r>
      <w:r w:rsidRPr="001A30C0">
        <w:rPr>
          <w:rFonts w:ascii="David" w:hAnsi="David" w:cs="David" w:hint="cs"/>
          <w:sz w:val="28"/>
          <w:szCs w:val="28"/>
          <w:rtl/>
        </w:rPr>
        <w:t xml:space="preserve">, 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ביה"ד האזורי 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"...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ידון בבקשתו של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/>
          <w:b/>
          <w:bCs/>
          <w:kern w:val="0"/>
          <w:sz w:val="28"/>
          <w:szCs w:val="28"/>
          <w:rtl/>
        </w:rPr>
        <w:t>המערער להארכת מועד להארכת מועד להגשת ערעור גמלאות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".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>(סעיף 46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שלפסה"ד).</w:t>
      </w:r>
    </w:p>
    <w:p w14:paraId="6A47834D" w14:textId="77777777" w:rsidR="001A30C0" w:rsidRDefault="001A30C0" w:rsidP="001A30C0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</w:p>
    <w:p w14:paraId="54850021" w14:textId="0B10DD25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kern w:val="0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4</w:t>
      </w:r>
      <w:r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בכל מקרה,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בין אם מדובר בערעור </w:t>
      </w:r>
      <w:proofErr w:type="spellStart"/>
      <w:r w:rsidRPr="001A30C0">
        <w:rPr>
          <w:rFonts w:ascii="David" w:hAnsi="David" w:cs="David" w:hint="cs"/>
          <w:sz w:val="28"/>
          <w:szCs w:val="28"/>
          <w:rtl/>
        </w:rPr>
        <w:t>גימלאות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ובין אם התביעה היא מול המדינה כמעסיקה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A30C0">
        <w:rPr>
          <w:rFonts w:ascii="David" w:hAnsi="David" w:cs="David"/>
          <w:b/>
          <w:bCs/>
          <w:kern w:val="0"/>
          <w:sz w:val="28"/>
          <w:szCs w:val="28"/>
          <w:u w:val="single"/>
          <w:rtl/>
        </w:rPr>
        <w:t>המדינה מנועה ומושתקת מלטעון כי יש לדחות על הסף את התביעה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נוכח התנהלות המדינה</w:t>
      </w:r>
      <w:r w:rsidRPr="001A30C0">
        <w:rPr>
          <w:rFonts w:ascii="David" w:hAnsi="David" w:cs="David" w:hint="cs"/>
          <w:kern w:val="0"/>
          <w:sz w:val="28"/>
          <w:szCs w:val="28"/>
          <w:rtl/>
        </w:rPr>
        <w:t xml:space="preserve">, כמתואר בתמצית בכתב התביעה ובסעיפים 45-46 לפסה"ד הארצי </w:t>
      </w:r>
      <w:r w:rsidRPr="001A30C0">
        <w:rPr>
          <w:rFonts w:ascii="David" w:hAnsi="David" w:cs="David" w:hint="cs"/>
          <w:b/>
          <w:bCs/>
          <w:kern w:val="0"/>
          <w:sz w:val="28"/>
          <w:szCs w:val="28"/>
          <w:rtl/>
        </w:rPr>
        <w:t>מה עוד שהמדינה בכתב ההגנה המתוקן מאשרת למעשה שהתובע מצדו לא ישן על זכויותיו</w:t>
      </w:r>
      <w:r w:rsidRPr="001A30C0">
        <w:rPr>
          <w:rFonts w:ascii="David" w:hAnsi="David" w:cs="David" w:hint="cs"/>
          <w:b/>
          <w:bCs/>
          <w:kern w:val="0"/>
          <w:sz w:val="24"/>
          <w:szCs w:val="24"/>
          <w:rtl/>
        </w:rPr>
        <w:t>.</w:t>
      </w:r>
    </w:p>
    <w:p w14:paraId="0D62E60E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kern w:val="0"/>
          <w:sz w:val="24"/>
          <w:szCs w:val="24"/>
          <w:rtl/>
        </w:rPr>
      </w:pPr>
    </w:p>
    <w:p w14:paraId="2620686D" w14:textId="56AA6B88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3. </w:t>
      </w: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טענת ההגנה</w:t>
      </w: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>"</w:t>
      </w:r>
      <w:proofErr w:type="spellStart"/>
      <w:r w:rsidRPr="00DC008A">
        <w:rPr>
          <w:rFonts w:ascii="David" w:hAnsi="David" w:cs="David" w:hint="cs"/>
          <w:b/>
          <w:bCs/>
          <w:kern w:val="0"/>
          <w:sz w:val="24"/>
          <w:szCs w:val="24"/>
          <w:u w:val="single"/>
          <w:rtl/>
        </w:rPr>
        <w:t>לגןפו</w:t>
      </w:r>
      <w:proofErr w:type="spellEnd"/>
      <w:r w:rsidRPr="00DC008A">
        <w:rPr>
          <w:rFonts w:ascii="David" w:hAnsi="David" w:cs="David" w:hint="cs"/>
          <w:b/>
          <w:bCs/>
          <w:kern w:val="0"/>
          <w:sz w:val="24"/>
          <w:szCs w:val="24"/>
          <w:u w:val="single"/>
          <w:rtl/>
        </w:rPr>
        <w:t xml:space="preserve"> של ענין"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יש לדחות את שלוש מרכיבי התביעה</w:t>
      </w:r>
      <w:r w:rsidRPr="001A30C0">
        <w:rPr>
          <w:rFonts w:ascii="David" w:hAnsi="David" w:cs="David" w:hint="cs"/>
          <w:sz w:val="28"/>
          <w:szCs w:val="28"/>
          <w:u w:val="single"/>
          <w:rtl/>
        </w:rPr>
        <w:t xml:space="preserve"> </w:t>
      </w:r>
      <w:r w:rsidRPr="001A30C0">
        <w:rPr>
          <w:rFonts w:ascii="David" w:hAnsi="David" w:cs="David" w:hint="cs"/>
          <w:sz w:val="24"/>
          <w:szCs w:val="24"/>
          <w:u w:val="single"/>
          <w:rtl/>
        </w:rPr>
        <w:t>(</w:t>
      </w:r>
      <w:r>
        <w:rPr>
          <w:rFonts w:ascii="David" w:hAnsi="David" w:cs="David" w:hint="cs"/>
          <w:sz w:val="24"/>
          <w:szCs w:val="24"/>
          <w:rtl/>
        </w:rPr>
        <w:t>ע' 2 ):</w:t>
      </w:r>
    </w:p>
    <w:p w14:paraId="4452E00F" w14:textId="0A0C64EF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א: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לגבי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התביעה לחישוב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נוסחת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הגימלה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לתקופת העבודה בחוזה (22.33שנים):</w:t>
      </w:r>
    </w:p>
    <w:p w14:paraId="3A6A7DB6" w14:textId="63D603FF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341" w:firstLine="284"/>
        <w:jc w:val="right"/>
        <w:rPr>
          <w:rFonts w:ascii="David" w:hAnsi="David" w:cs="David"/>
          <w:sz w:val="28"/>
          <w:szCs w:val="28"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 </w:t>
      </w:r>
      <w:r w:rsidRPr="001A30C0">
        <w:rPr>
          <w:rFonts w:ascii="David" w:hAnsi="David" w:cs="David" w:hint="cs"/>
          <w:sz w:val="28"/>
          <w:szCs w:val="28"/>
          <w:rtl/>
        </w:rPr>
        <w:t>"התובע טוען כי על גמלתו יש להחיל נוסחת חישוב מיטיבה שנקבעה... החל משנת 2014, דא עק</w:t>
      </w:r>
      <w:r>
        <w:rPr>
          <w:rFonts w:ascii="David" w:hAnsi="David" w:cs="David" w:hint="cs"/>
          <w:sz w:val="28"/>
          <w:szCs w:val="28"/>
          <w:rtl/>
        </w:rPr>
        <w:t>א,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התובע פרש זמן רב עובר למועד זה..</w:t>
      </w:r>
      <w:r>
        <w:rPr>
          <w:rFonts w:ascii="David" w:hAnsi="David" w:cs="David" w:hint="cs"/>
          <w:sz w:val="28"/>
          <w:szCs w:val="28"/>
          <w:rtl/>
        </w:rPr>
        <w:t xml:space="preserve">. </w:t>
      </w:r>
      <w:r w:rsidRPr="001A30C0">
        <w:rPr>
          <w:rFonts w:ascii="David" w:hAnsi="David" w:cs="David" w:hint="cs"/>
          <w:sz w:val="28"/>
          <w:szCs w:val="28"/>
          <w:rtl/>
        </w:rPr>
        <w:t xml:space="preserve">ועל כן אין הוא זכאי לחישוב </w:t>
      </w:r>
      <w:proofErr w:type="spellStart"/>
      <w:r w:rsidRPr="001A30C0">
        <w:rPr>
          <w:rFonts w:ascii="David" w:hAnsi="David" w:cs="David" w:hint="cs"/>
          <w:sz w:val="28"/>
          <w:szCs w:val="28"/>
          <w:rtl/>
        </w:rPr>
        <w:t>הגימלה</w:t>
      </w:r>
      <w:proofErr w:type="spellEnd"/>
      <w:r w:rsidRPr="001A30C0">
        <w:rPr>
          <w:rFonts w:ascii="David" w:hAnsi="David" w:cs="David" w:hint="cs"/>
          <w:sz w:val="28"/>
          <w:szCs w:val="28"/>
          <w:rtl/>
        </w:rPr>
        <w:t xml:space="preserve"> ע"פ הנוסחה המוזכרת" </w:t>
      </w:r>
    </w:p>
    <w:p w14:paraId="226575ED" w14:textId="77777777" w:rsidR="001A30C0" w:rsidRPr="00DC008A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12"/>
          <w:szCs w:val="12"/>
          <w:rtl/>
        </w:rPr>
      </w:pPr>
    </w:p>
    <w:p w14:paraId="6301BE9E" w14:textId="0A122B7F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4"/>
          <w:szCs w:val="24"/>
          <w:rtl/>
        </w:rPr>
      </w:pP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תגוב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ת התובע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: </w:t>
      </w:r>
    </w:p>
    <w:p w14:paraId="2969D187" w14:textId="2795E12D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8"/>
          <w:szCs w:val="28"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>התובע מעולם לא טען שהוא זכאי ל"נוסחת חישוב מיטיבה"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שנקבעה בשנת 2014.  אין בכתב התביעה המתוקן-ולו רמז- לתביעה כזו</w:t>
      </w:r>
      <w:r>
        <w:rPr>
          <w:rFonts w:ascii="David" w:hAnsi="David" w:cs="David" w:hint="cs"/>
          <w:sz w:val="28"/>
          <w:szCs w:val="28"/>
          <w:rtl/>
        </w:rPr>
        <w:t>.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כשם שגם בכתב התביעה המקורי ובכתב הערעור לארצי</w:t>
      </w:r>
      <w:r>
        <w:rPr>
          <w:rFonts w:ascii="David" w:hAnsi="David" w:cs="David" w:hint="cs"/>
          <w:sz w:val="28"/>
          <w:szCs w:val="28"/>
          <w:rtl/>
        </w:rPr>
        <w:t xml:space="preserve">. </w:t>
      </w:r>
    </w:p>
    <w:p w14:paraId="33AC7646" w14:textId="38C49E25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 w:rsidRPr="001A30C0">
        <w:rPr>
          <w:rFonts w:ascii="David" w:hAnsi="David" w:cs="David" w:hint="cs"/>
          <w:sz w:val="28"/>
          <w:szCs w:val="28"/>
          <w:rtl/>
        </w:rPr>
        <w:t xml:space="preserve"> אדרבא</w:t>
      </w:r>
      <w:r>
        <w:rPr>
          <w:rFonts w:ascii="David" w:hAnsi="David" w:cs="David" w:hint="cs"/>
          <w:sz w:val="28"/>
          <w:szCs w:val="28"/>
          <w:rtl/>
        </w:rPr>
        <w:t xml:space="preserve">! </w:t>
      </w:r>
      <w:r w:rsidRPr="001A30C0">
        <w:rPr>
          <w:rFonts w:ascii="David" w:hAnsi="David" w:cs="David" w:hint="cs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בפניותיו לאורך  השנים הדגיש התובע, שוב ושוב, שתביעתו מבוססת אך ורק על הנוסחה בחוזה וכי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אותה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"שיטת החישוב המיטיבה" משנת 2014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אינה כלל רלוונטית לגביו.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ראה לדוגמא נספח 10 לכתב ההגנה</w:t>
      </w:r>
      <w:r>
        <w:rPr>
          <w:rFonts w:ascii="David" w:hAnsi="David" w:cs="David" w:hint="cs"/>
          <w:sz w:val="24"/>
          <w:szCs w:val="24"/>
          <w:rtl/>
        </w:rPr>
        <w:t xml:space="preserve"> מכ</w:t>
      </w:r>
      <w:r>
        <w:rPr>
          <w:rFonts w:ascii="David" w:hAnsi="David" w:cs="David" w:hint="cs"/>
          <w:sz w:val="24"/>
          <w:szCs w:val="24"/>
          <w:rtl/>
        </w:rPr>
        <w:t>תב התובע ל</w:t>
      </w:r>
      <w:r>
        <w:rPr>
          <w:rFonts w:ascii="David" w:hAnsi="David" w:cs="David" w:hint="cs"/>
          <w:sz w:val="24"/>
          <w:szCs w:val="24"/>
          <w:rtl/>
        </w:rPr>
        <w:t>אהרונוב מיום 20.3.2014</w:t>
      </w:r>
    </w:p>
    <w:p w14:paraId="2606D649" w14:textId="679E0180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4"/>
          <w:szCs w:val="24"/>
        </w:rPr>
        <w:t xml:space="preserve"> </w:t>
      </w:r>
      <w:bookmarkEnd w:id="0"/>
    </w:p>
    <w:p w14:paraId="345A6EE3" w14:textId="56602B9D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התביעה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שלפנינו, כמו </w:t>
      </w:r>
      <w:r>
        <w:rPr>
          <w:rFonts w:ascii="David" w:hAnsi="David" w:cs="David" w:hint="cs"/>
          <w:b/>
          <w:bCs/>
          <w:sz w:val="28"/>
          <w:szCs w:val="28"/>
          <w:rtl/>
        </w:rPr>
        <w:t>ב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תביעה המקורית,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היא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לחישוב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הגימלה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לתקופת העבודה בחוזה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היא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אך ורק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לפי האמור בסעיף 12ב' שבחוזה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כמפורט בסעיף 16 לכתב התביעה. </w:t>
      </w:r>
    </w:p>
    <w:p w14:paraId="4276087E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</w:p>
    <w:p w14:paraId="4BEA4F98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מאחר וכתב ההגנה המתוקן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אינו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טוען ואינו </w:t>
      </w:r>
      <w:r>
        <w:rPr>
          <w:rFonts w:ascii="David" w:hAnsi="David" w:cs="David" w:hint="cs"/>
          <w:b/>
          <w:bCs/>
          <w:sz w:val="28"/>
          <w:szCs w:val="28"/>
          <w:rtl/>
        </w:rPr>
        <w:t>מסביר מדוע יש לדחות מרכיב זה של התביעה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</w:p>
    <w:p w14:paraId="7CBC8FF7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ומאחר והוא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לא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מתיחס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 כלל למרכיב זה של  התביעה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המפורט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כאמור </w:t>
      </w:r>
      <w:r>
        <w:rPr>
          <w:rFonts w:ascii="David" w:hAnsi="David" w:cs="David" w:hint="cs"/>
          <w:b/>
          <w:bCs/>
          <w:sz w:val="28"/>
          <w:szCs w:val="28"/>
          <w:rtl/>
        </w:rPr>
        <w:t>בסעיף 16 של כתב התביעה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, </w:t>
      </w:r>
    </w:p>
    <w:p w14:paraId="37D2D114" w14:textId="62EC3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נבקש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מכב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' בית הדין, </w:t>
      </w:r>
      <w:r>
        <w:rPr>
          <w:rFonts w:ascii="David" w:hAnsi="David" w:cs="David" w:hint="cs"/>
          <w:b/>
          <w:bCs/>
          <w:sz w:val="28"/>
          <w:szCs w:val="28"/>
          <w:rtl/>
        </w:rPr>
        <w:t>בהעדר כתב הגנה למרכיב זה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של התביעה,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ליתן  כבר בשלב זה, את הסעד שביקש התובע בסעיף 20.1.1,  וביצוע תשלומי ההפרשים בהתאם.</w:t>
      </w:r>
    </w:p>
    <w:p w14:paraId="1B18C220" w14:textId="3F65AE5F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</w:p>
    <w:p w14:paraId="3ADF5378" w14:textId="7777777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</w:p>
    <w:p w14:paraId="557A25E9" w14:textId="6170CC97" w:rsid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לגבי שאר סעיפי כתב ההגנה המתוקן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נתיחס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 בתגובה המפורטת שבקשנו רשות להכין.</w:t>
      </w:r>
    </w:p>
    <w:p w14:paraId="42C91560" w14:textId="52E16B15" w:rsidR="001A30C0" w:rsidRPr="001A30C0" w:rsidRDefault="001A30C0" w:rsidP="001A30C0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b/>
          <w:bCs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</w:p>
    <w:sectPr w:rsidR="001A30C0" w:rsidRPr="001A30C0" w:rsidSect="0001211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B45A6" w14:textId="77777777" w:rsidR="00300872" w:rsidRDefault="00300872" w:rsidP="001A30C0">
      <w:pPr>
        <w:spacing w:after="0" w:line="240" w:lineRule="auto"/>
      </w:pPr>
      <w:r>
        <w:separator/>
      </w:r>
    </w:p>
  </w:endnote>
  <w:endnote w:type="continuationSeparator" w:id="0">
    <w:p w14:paraId="33A39363" w14:textId="77777777" w:rsidR="00300872" w:rsidRDefault="00300872" w:rsidP="001A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530157453"/>
      <w:docPartObj>
        <w:docPartGallery w:val="Page Numbers (Bottom of Page)"/>
        <w:docPartUnique/>
      </w:docPartObj>
    </w:sdtPr>
    <w:sdtContent>
      <w:p w14:paraId="5EF20A21" w14:textId="0228C26C" w:rsidR="001A30C0" w:rsidRDefault="001A30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3798DC77" w14:textId="77777777" w:rsidR="001A30C0" w:rsidRDefault="001A30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1960" w14:textId="77777777" w:rsidR="00300872" w:rsidRDefault="00300872" w:rsidP="001A30C0">
      <w:pPr>
        <w:spacing w:after="0" w:line="240" w:lineRule="auto"/>
      </w:pPr>
      <w:r>
        <w:separator/>
      </w:r>
    </w:p>
  </w:footnote>
  <w:footnote w:type="continuationSeparator" w:id="0">
    <w:p w14:paraId="00AD83BA" w14:textId="77777777" w:rsidR="00300872" w:rsidRDefault="00300872" w:rsidP="001A3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F6488"/>
    <w:multiLevelType w:val="hybridMultilevel"/>
    <w:tmpl w:val="20B657F2"/>
    <w:lvl w:ilvl="0" w:tplc="1332C34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25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0C0"/>
    <w:rsid w:val="00012116"/>
    <w:rsid w:val="001A30C0"/>
    <w:rsid w:val="00300872"/>
    <w:rsid w:val="004E6B24"/>
    <w:rsid w:val="00C9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4BBBE"/>
  <w15:chartTrackingRefBased/>
  <w15:docId w15:val="{18CBA4AB-E6CF-48DA-8F0E-7A4EA0B7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0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0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30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1A30C0"/>
  </w:style>
  <w:style w:type="paragraph" w:styleId="a6">
    <w:name w:val="footer"/>
    <w:basedOn w:val="a"/>
    <w:link w:val="a7"/>
    <w:uiPriority w:val="99"/>
    <w:unhideWhenUsed/>
    <w:rsid w:val="001A30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1A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2023-01-10T21:34:00Z</dcterms:created>
  <dcterms:modified xsi:type="dcterms:W3CDTF">2023-01-10T23:03:00Z</dcterms:modified>
</cp:coreProperties>
</file>